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41" w:rightFromText="141" w:vertAnchor="text" w:horzAnchor="margin" w:tblpY="-410"/>
        <w:tblW w:w="99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C00000"/>
        <w:tblLook w:val="04A0" w:firstRow="1" w:lastRow="0" w:firstColumn="1" w:lastColumn="0" w:noHBand="0" w:noVBand="1"/>
      </w:tblPr>
      <w:tblGrid>
        <w:gridCol w:w="9918"/>
      </w:tblGrid>
      <w:tr w:rsidR="00DB1F26" w:rsidTr="00DB1F26">
        <w:trPr>
          <w:trHeight w:val="1129"/>
        </w:trPr>
        <w:tc>
          <w:tcPr>
            <w:tcW w:w="9918" w:type="dxa"/>
            <w:shd w:val="clear" w:color="auto" w:fill="auto"/>
            <w:vAlign w:val="center"/>
          </w:tcPr>
          <w:p w:rsidR="00DB1F26" w:rsidRPr="006B72E8" w:rsidRDefault="00DB1F26" w:rsidP="006B72E8">
            <w:pPr>
              <w:rPr>
                <w:rFonts w:ascii="Arial" w:hAnsi="Arial" w:cs="Arial"/>
                <w:b/>
                <w:sz w:val="32"/>
              </w:rPr>
            </w:pPr>
            <w:bookmarkStart w:id="0" w:name="_GoBack"/>
            <w:bookmarkEnd w:id="0"/>
            <w:r w:rsidRPr="006B72E8">
              <w:rPr>
                <w:rFonts w:ascii="Arial" w:hAnsi="Arial" w:cs="Arial"/>
                <w:b/>
                <w:sz w:val="32"/>
              </w:rPr>
              <w:t>Beratungsförderung 2016</w:t>
            </w:r>
          </w:p>
          <w:p w:rsidR="00DB1F26" w:rsidRDefault="00DB1F26" w:rsidP="006B72E8">
            <w:pPr>
              <w:rPr>
                <w:rFonts w:ascii="Arial" w:hAnsi="Arial" w:cs="Arial"/>
                <w:sz w:val="28"/>
                <w:szCs w:val="26"/>
              </w:rPr>
            </w:pPr>
            <w:r w:rsidRPr="003554A3">
              <w:rPr>
                <w:rFonts w:ascii="Arial" w:hAnsi="Arial" w:cs="Arial"/>
                <w:sz w:val="28"/>
                <w:szCs w:val="26"/>
              </w:rPr>
              <w:t>Gründungs- und Mittelstandberatung mit neuen Konditionen</w:t>
            </w:r>
          </w:p>
          <w:p w:rsidR="006B72E8" w:rsidRPr="003554A3" w:rsidRDefault="006B72E8" w:rsidP="00DB1F26">
            <w:pPr>
              <w:spacing w:line="360" w:lineRule="auto"/>
              <w:rPr>
                <w:rFonts w:ascii="Arial" w:hAnsi="Arial" w:cs="Arial"/>
                <w:sz w:val="26"/>
                <w:szCs w:val="26"/>
              </w:rPr>
            </w:pPr>
          </w:p>
        </w:tc>
      </w:tr>
    </w:tbl>
    <w:p w:rsidR="00DB1F26" w:rsidRDefault="00DB1F26" w:rsidP="00CD3D19">
      <w:pPr>
        <w:spacing w:line="360" w:lineRule="auto"/>
        <w:jc w:val="both"/>
        <w:rPr>
          <w:rFonts w:ascii="Arial" w:hAnsi="Arial" w:cs="Arial"/>
        </w:rPr>
        <w:sectPr w:rsidR="00DB1F26" w:rsidSect="00907A4F">
          <w:type w:val="continuous"/>
          <w:pgSz w:w="11906" w:h="16838"/>
          <w:pgMar w:top="1417" w:right="991" w:bottom="1134" w:left="993" w:header="708" w:footer="708" w:gutter="0"/>
          <w:cols w:num="2" w:space="850"/>
          <w:docGrid w:linePitch="360"/>
        </w:sectPr>
      </w:pPr>
    </w:p>
    <w:p w:rsidR="006C6CA1" w:rsidRDefault="006C6CA1" w:rsidP="006B72E8">
      <w:pPr>
        <w:spacing w:line="360" w:lineRule="auto"/>
        <w:ind w:right="-1277"/>
        <w:jc w:val="both"/>
        <w:rPr>
          <w:rFonts w:ascii="Arial" w:hAnsi="Arial" w:cs="Arial"/>
          <w:b/>
        </w:rPr>
      </w:pPr>
      <w:r w:rsidRPr="00F14C81">
        <w:rPr>
          <w:rFonts w:ascii="Arial" w:hAnsi="Arial" w:cs="Arial"/>
          <w:b/>
        </w:rPr>
        <w:lastRenderedPageBreak/>
        <w:t xml:space="preserve">Ab 2016 wird die Beratungsförderung für kleine und mittelständige Unternehmen (KMU) sowie für Existenzgründungen durch das Bundesministerium für Wirtschaft und Energie insgesamt </w:t>
      </w:r>
      <w:r w:rsidR="006B72E8" w:rsidRPr="00F14C81">
        <w:rPr>
          <w:rFonts w:ascii="Arial" w:hAnsi="Arial" w:cs="Arial"/>
          <w:b/>
        </w:rPr>
        <w:t xml:space="preserve">völlig </w:t>
      </w:r>
      <w:r w:rsidRPr="00F14C81">
        <w:rPr>
          <w:rFonts w:ascii="Arial" w:hAnsi="Arial" w:cs="Arial"/>
          <w:b/>
        </w:rPr>
        <w:t>neu strukturiert.</w:t>
      </w:r>
    </w:p>
    <w:p w:rsidR="00CD3D19" w:rsidRDefault="00F14C81" w:rsidP="006B72E8">
      <w:pPr>
        <w:spacing w:line="360" w:lineRule="auto"/>
        <w:ind w:right="-1277"/>
        <w:jc w:val="both"/>
        <w:rPr>
          <w:rFonts w:ascii="Arial" w:hAnsi="Arial" w:cs="Arial"/>
        </w:rPr>
      </w:pPr>
      <w:r>
        <w:rPr>
          <w:rFonts w:ascii="Arial" w:hAnsi="Arial" w:cs="Arial"/>
          <w:b/>
        </w:rPr>
        <w:t>„</w:t>
      </w:r>
      <w:r>
        <w:rPr>
          <w:rFonts w:ascii="Arial" w:hAnsi="Arial" w:cs="Arial"/>
        </w:rPr>
        <w:t>D</w:t>
      </w:r>
      <w:r w:rsidR="006C6CA1">
        <w:rPr>
          <w:rFonts w:ascii="Arial" w:hAnsi="Arial" w:cs="Arial"/>
        </w:rPr>
        <w:t xml:space="preserve">ie Beratungsprogramme Gründercoaching Deutschland, Turn </w:t>
      </w:r>
      <w:proofErr w:type="spellStart"/>
      <w:r w:rsidR="006C6CA1">
        <w:rPr>
          <w:rFonts w:ascii="Arial" w:hAnsi="Arial" w:cs="Arial"/>
        </w:rPr>
        <w:t>Around</w:t>
      </w:r>
      <w:proofErr w:type="spellEnd"/>
      <w:r w:rsidR="006C6CA1">
        <w:rPr>
          <w:rFonts w:ascii="Arial" w:hAnsi="Arial" w:cs="Arial"/>
        </w:rPr>
        <w:t xml:space="preserve"> Beratung und Runder Tisch</w:t>
      </w:r>
      <w:r>
        <w:rPr>
          <w:rFonts w:ascii="Arial" w:hAnsi="Arial" w:cs="Arial"/>
        </w:rPr>
        <w:t xml:space="preserve"> werden </w:t>
      </w:r>
      <w:r w:rsidR="006C6CA1">
        <w:rPr>
          <w:rFonts w:ascii="Arial" w:hAnsi="Arial" w:cs="Arial"/>
        </w:rPr>
        <w:t xml:space="preserve"> seit dem </w:t>
      </w:r>
      <w:r w:rsidR="006C6CA1" w:rsidRPr="003554A3">
        <w:rPr>
          <w:rFonts w:ascii="Arial" w:hAnsi="Arial" w:cs="Arial"/>
          <w:b/>
        </w:rPr>
        <w:t>1. Januar</w:t>
      </w:r>
      <w:r w:rsidR="006B72E8">
        <w:rPr>
          <w:rFonts w:ascii="Arial" w:hAnsi="Arial" w:cs="Arial"/>
          <w:b/>
        </w:rPr>
        <w:t xml:space="preserve"> 2016</w:t>
      </w:r>
      <w:r w:rsidR="006C6CA1">
        <w:rPr>
          <w:rFonts w:ascii="Arial" w:hAnsi="Arial" w:cs="Arial"/>
        </w:rPr>
        <w:t xml:space="preserve"> </w:t>
      </w:r>
      <w:r>
        <w:rPr>
          <w:rFonts w:ascii="Arial" w:hAnsi="Arial" w:cs="Arial"/>
        </w:rPr>
        <w:t xml:space="preserve">völlig neu strukturiert und </w:t>
      </w:r>
      <w:r w:rsidR="006C6CA1">
        <w:rPr>
          <w:rFonts w:ascii="Arial" w:hAnsi="Arial" w:cs="Arial"/>
        </w:rPr>
        <w:t>nicht mehr bei der KfW</w:t>
      </w:r>
      <w:r>
        <w:rPr>
          <w:rFonts w:ascii="Arial" w:hAnsi="Arial" w:cs="Arial"/>
        </w:rPr>
        <w:t>,</w:t>
      </w:r>
      <w:r w:rsidR="006C6CA1">
        <w:rPr>
          <w:rFonts w:ascii="Arial" w:hAnsi="Arial" w:cs="Arial"/>
        </w:rPr>
        <w:t xml:space="preserve"> sondern bei der BAFA (Bundesamt für Wirtschaft un</w:t>
      </w:r>
      <w:r>
        <w:rPr>
          <w:rFonts w:ascii="Arial" w:hAnsi="Arial" w:cs="Arial"/>
        </w:rPr>
        <w:t xml:space="preserve">d Ausfuhrkontrolle) angesiedelt,“ so der Unternehmensberater Björn Grimm, der als Berater diverser </w:t>
      </w:r>
      <w:r w:rsidR="004C1754">
        <w:rPr>
          <w:rFonts w:ascii="Arial" w:hAnsi="Arial" w:cs="Arial"/>
        </w:rPr>
        <w:t>DEHOGA-Verbände Ansprechpartner für i</w:t>
      </w:r>
      <w:r>
        <w:rPr>
          <w:rFonts w:ascii="Arial" w:hAnsi="Arial" w:cs="Arial"/>
        </w:rPr>
        <w:t xml:space="preserve">nteressierte Gastronomen und Hoteliers ist. </w:t>
      </w:r>
      <w:r w:rsidR="00DB1F26">
        <w:rPr>
          <w:rFonts w:ascii="Arial" w:hAnsi="Arial" w:cs="Arial"/>
        </w:rPr>
        <w:t xml:space="preserve"> Es</w:t>
      </w:r>
      <w:r w:rsidR="00CD3D19">
        <w:rPr>
          <w:rFonts w:ascii="Arial" w:hAnsi="Arial" w:cs="Arial"/>
        </w:rPr>
        <w:t xml:space="preserve"> erfolgt eine Zusammenführung der bisherigen Programme </w:t>
      </w:r>
      <w:r w:rsidR="00CD3D19" w:rsidRPr="00F14C81">
        <w:rPr>
          <w:rFonts w:ascii="Arial" w:hAnsi="Arial" w:cs="Arial"/>
          <w:i/>
        </w:rPr>
        <w:t xml:space="preserve">Gründercoaching Deutschland (GCD), Förderung unternehmerischen Know-hows durch Unternehmensberatung, Runder Tisch (RT) </w:t>
      </w:r>
      <w:r w:rsidR="00CD3D19" w:rsidRPr="00F14C81">
        <w:rPr>
          <w:rFonts w:ascii="Arial" w:hAnsi="Arial" w:cs="Arial"/>
        </w:rPr>
        <w:t>und</w:t>
      </w:r>
      <w:r w:rsidR="00CD3D19" w:rsidRPr="00F14C81">
        <w:rPr>
          <w:rFonts w:ascii="Arial" w:hAnsi="Arial" w:cs="Arial"/>
          <w:i/>
        </w:rPr>
        <w:t xml:space="preserve"> Turn-</w:t>
      </w:r>
      <w:proofErr w:type="spellStart"/>
      <w:r w:rsidR="00CD3D19" w:rsidRPr="00F14C81">
        <w:rPr>
          <w:rFonts w:ascii="Arial" w:hAnsi="Arial" w:cs="Arial"/>
          <w:i/>
        </w:rPr>
        <w:t>Around</w:t>
      </w:r>
      <w:proofErr w:type="spellEnd"/>
      <w:r w:rsidR="00CD3D19" w:rsidRPr="00F14C81">
        <w:rPr>
          <w:rFonts w:ascii="Arial" w:hAnsi="Arial" w:cs="Arial"/>
          <w:i/>
        </w:rPr>
        <w:t>-Beratung (TAB)</w:t>
      </w:r>
      <w:r w:rsidR="00CD3D19">
        <w:rPr>
          <w:rFonts w:ascii="Arial" w:hAnsi="Arial" w:cs="Arial"/>
        </w:rPr>
        <w:t xml:space="preserve"> zu einem </w:t>
      </w:r>
      <w:r w:rsidR="00CD3D19" w:rsidRPr="00F14C81">
        <w:rPr>
          <w:rFonts w:ascii="Arial" w:hAnsi="Arial" w:cs="Arial"/>
          <w:b/>
        </w:rPr>
        <w:t>einheitlichen Beratungsförderungsprogramm</w:t>
      </w:r>
      <w:r w:rsidR="00CD3D19">
        <w:rPr>
          <w:rFonts w:ascii="Arial" w:hAnsi="Arial" w:cs="Arial"/>
        </w:rPr>
        <w:t>.</w:t>
      </w:r>
      <w:r w:rsidR="00DB1F26">
        <w:rPr>
          <w:rFonts w:ascii="Arial" w:hAnsi="Arial" w:cs="Arial"/>
        </w:rPr>
        <w:t xml:space="preserve"> </w:t>
      </w:r>
      <w:r w:rsidR="00CD3D19">
        <w:rPr>
          <w:rFonts w:ascii="Arial" w:hAnsi="Arial" w:cs="Arial"/>
        </w:rPr>
        <w:t>Die Förderkonditionen für Unternehmen teilen sich auch weiterhin in verschiedenen Phasen</w:t>
      </w:r>
      <w:r w:rsidR="00DB1F26">
        <w:rPr>
          <w:rFonts w:ascii="Arial" w:hAnsi="Arial" w:cs="Arial"/>
        </w:rPr>
        <w:t>.</w:t>
      </w:r>
    </w:p>
    <w:p w:rsidR="006B72E8" w:rsidRDefault="00DB1F26" w:rsidP="006B72E8">
      <w:pPr>
        <w:spacing w:line="360" w:lineRule="auto"/>
        <w:ind w:right="-1277"/>
        <w:jc w:val="both"/>
        <w:rPr>
          <w:rFonts w:ascii="Arial" w:hAnsi="Arial" w:cs="Arial"/>
          <w:noProof/>
          <w:lang w:eastAsia="de-DE"/>
        </w:rPr>
      </w:pPr>
      <w:r w:rsidRPr="0017492F">
        <w:rPr>
          <w:rFonts w:ascii="Arial" w:hAnsi="Arial" w:cs="Arial"/>
          <w:b/>
        </w:rPr>
        <w:t>Dabei sind die Zeitrahmen der Unternehmensgründung und -bestehen zu berücksichtigen.</w:t>
      </w:r>
      <w:r w:rsidR="006B72E8" w:rsidRPr="006B72E8">
        <w:rPr>
          <w:rFonts w:ascii="Arial" w:hAnsi="Arial" w:cs="Arial"/>
          <w:noProof/>
          <w:lang w:eastAsia="de-DE"/>
        </w:rPr>
        <w:t xml:space="preserve"> </w:t>
      </w:r>
    </w:p>
    <w:p w:rsidR="00DB1F26" w:rsidRDefault="006B72E8" w:rsidP="00DB1F26">
      <w:pPr>
        <w:spacing w:line="360" w:lineRule="auto"/>
        <w:ind w:right="-1"/>
        <w:jc w:val="both"/>
        <w:rPr>
          <w:rFonts w:ascii="Arial" w:hAnsi="Arial" w:cs="Arial"/>
        </w:rPr>
        <w:sectPr w:rsidR="00DB1F26" w:rsidSect="00DB1F26">
          <w:type w:val="continuous"/>
          <w:pgSz w:w="11906" w:h="16838"/>
          <w:pgMar w:top="1417" w:right="2125" w:bottom="1134" w:left="993" w:header="708" w:footer="708" w:gutter="0"/>
          <w:cols w:space="850"/>
          <w:docGrid w:linePitch="360"/>
        </w:sectPr>
      </w:pPr>
      <w:r>
        <w:rPr>
          <w:rFonts w:ascii="Arial" w:hAnsi="Arial" w:cs="Arial"/>
          <w:noProof/>
          <w:lang w:eastAsia="de-DE"/>
        </w:rPr>
        <w:drawing>
          <wp:inline distT="0" distB="0" distL="0" distR="0" wp14:anchorId="701BAE4A" wp14:editId="70FA5074">
            <wp:extent cx="6362700" cy="2126160"/>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60447" cy="2125407"/>
                    </a:xfrm>
                    <a:prstGeom prst="rect">
                      <a:avLst/>
                    </a:prstGeom>
                    <a:noFill/>
                  </pic:spPr>
                </pic:pic>
              </a:graphicData>
            </a:graphic>
          </wp:inline>
        </w:drawing>
      </w:r>
    </w:p>
    <w:p w:rsidR="006B72E8" w:rsidRPr="006B72E8" w:rsidRDefault="006B72E8" w:rsidP="006B72E8">
      <w:pPr>
        <w:tabs>
          <w:tab w:val="left" w:pos="3495"/>
          <w:tab w:val="left" w:pos="6450"/>
        </w:tabs>
        <w:spacing w:line="360" w:lineRule="auto"/>
        <w:jc w:val="both"/>
        <w:rPr>
          <w:rFonts w:ascii="Arial" w:hAnsi="Arial" w:cs="Arial"/>
        </w:rPr>
      </w:pPr>
      <w:r>
        <w:rPr>
          <w:rFonts w:ascii="Arial" w:hAnsi="Arial" w:cs="Arial"/>
        </w:rPr>
        <w:lastRenderedPageBreak/>
        <w:t>D</w:t>
      </w:r>
      <w:r w:rsidRPr="006B72E8">
        <w:rPr>
          <w:rFonts w:ascii="Arial" w:hAnsi="Arial" w:cs="Arial"/>
        </w:rPr>
        <w:t>ie Beratung junger und etablierter Unternehmen (Bestandsunternehmen) k</w:t>
      </w:r>
      <w:r w:rsidR="00F14C81">
        <w:rPr>
          <w:rFonts w:ascii="Arial" w:hAnsi="Arial" w:cs="Arial"/>
        </w:rPr>
        <w:t xml:space="preserve">önnen </w:t>
      </w:r>
      <w:r w:rsidRPr="006B72E8">
        <w:rPr>
          <w:rFonts w:ascii="Arial" w:hAnsi="Arial" w:cs="Arial"/>
        </w:rPr>
        <w:t>im Rahmen der folgenden Beratungsschwerpunkte gefördert werden:</w:t>
      </w:r>
    </w:p>
    <w:p w:rsidR="006B72E8" w:rsidRPr="006B72E8" w:rsidRDefault="006B72E8" w:rsidP="006B72E8">
      <w:pPr>
        <w:tabs>
          <w:tab w:val="num" w:pos="720"/>
          <w:tab w:val="left" w:pos="3495"/>
          <w:tab w:val="left" w:pos="6450"/>
        </w:tabs>
        <w:spacing w:line="360" w:lineRule="auto"/>
        <w:jc w:val="both"/>
        <w:rPr>
          <w:rFonts w:ascii="Arial" w:hAnsi="Arial" w:cs="Arial"/>
          <w:iCs/>
        </w:rPr>
      </w:pPr>
      <w:r w:rsidRPr="006B72E8">
        <w:rPr>
          <w:rFonts w:ascii="Arial" w:hAnsi="Arial" w:cs="Arial"/>
          <w:iCs/>
        </w:rPr>
        <w:t>Allgemeine Beratungen</w:t>
      </w:r>
    </w:p>
    <w:p w:rsidR="006B72E8" w:rsidRPr="006B72E8" w:rsidRDefault="006B72E8" w:rsidP="006B72E8">
      <w:pPr>
        <w:pStyle w:val="Listenabsatz"/>
        <w:numPr>
          <w:ilvl w:val="0"/>
          <w:numId w:val="4"/>
        </w:numPr>
        <w:tabs>
          <w:tab w:val="num" w:pos="720"/>
          <w:tab w:val="left" w:pos="3495"/>
          <w:tab w:val="left" w:pos="6450"/>
        </w:tabs>
        <w:spacing w:line="360" w:lineRule="auto"/>
        <w:jc w:val="both"/>
        <w:rPr>
          <w:rFonts w:ascii="Arial" w:hAnsi="Arial" w:cs="Arial"/>
        </w:rPr>
      </w:pPr>
      <w:r w:rsidRPr="006B72E8">
        <w:rPr>
          <w:rFonts w:ascii="Arial" w:hAnsi="Arial" w:cs="Arial"/>
        </w:rPr>
        <w:t>Zu allen wirtschaftlichen, finanziellen, personellen und organisatorischen Fragen der Unternehmensführung.</w:t>
      </w:r>
    </w:p>
    <w:p w:rsidR="006B72E8" w:rsidRPr="006B72E8" w:rsidRDefault="006B72E8" w:rsidP="006B72E8">
      <w:pPr>
        <w:tabs>
          <w:tab w:val="left" w:pos="3495"/>
          <w:tab w:val="left" w:pos="6450"/>
        </w:tabs>
        <w:spacing w:line="360" w:lineRule="auto"/>
        <w:jc w:val="both"/>
        <w:rPr>
          <w:rFonts w:ascii="Arial" w:hAnsi="Arial" w:cs="Arial"/>
        </w:rPr>
      </w:pPr>
      <w:r w:rsidRPr="006B72E8">
        <w:rPr>
          <w:rFonts w:ascii="Arial" w:hAnsi="Arial" w:cs="Arial"/>
          <w:iCs/>
        </w:rPr>
        <w:t>Spezielle Beratungen</w:t>
      </w:r>
    </w:p>
    <w:p w:rsidR="006B72E8" w:rsidRPr="006B72E8" w:rsidRDefault="006B72E8" w:rsidP="006B72E8">
      <w:pPr>
        <w:numPr>
          <w:ilvl w:val="0"/>
          <w:numId w:val="2"/>
        </w:numPr>
        <w:tabs>
          <w:tab w:val="left" w:pos="3495"/>
          <w:tab w:val="left" w:pos="6450"/>
        </w:tabs>
        <w:spacing w:line="360" w:lineRule="auto"/>
        <w:jc w:val="both"/>
        <w:rPr>
          <w:rFonts w:ascii="Arial" w:hAnsi="Arial" w:cs="Arial"/>
        </w:rPr>
      </w:pPr>
      <w:r w:rsidRPr="006B72E8">
        <w:rPr>
          <w:rFonts w:ascii="Arial" w:hAnsi="Arial" w:cs="Arial"/>
        </w:rPr>
        <w:t>Um strukturellen Ungleichheiten zu begegnen, können zusätzlich zu den Themen einer allgemeinen Beratung weitere Beratungsleistungen gefördert werden.</w:t>
      </w:r>
    </w:p>
    <w:p w:rsidR="006B72E8" w:rsidRDefault="006B72E8" w:rsidP="006B72E8">
      <w:pPr>
        <w:tabs>
          <w:tab w:val="left" w:pos="3495"/>
          <w:tab w:val="left" w:pos="6450"/>
        </w:tabs>
        <w:spacing w:line="360" w:lineRule="auto"/>
        <w:jc w:val="both"/>
        <w:rPr>
          <w:rFonts w:ascii="Arial" w:hAnsi="Arial" w:cs="Arial"/>
          <w:i/>
          <w:iCs/>
        </w:rPr>
      </w:pPr>
    </w:p>
    <w:p w:rsidR="006B72E8" w:rsidRPr="006B72E8" w:rsidRDefault="006B72E8" w:rsidP="006B72E8">
      <w:pPr>
        <w:tabs>
          <w:tab w:val="left" w:pos="3495"/>
          <w:tab w:val="left" w:pos="6450"/>
        </w:tabs>
        <w:spacing w:line="360" w:lineRule="auto"/>
        <w:jc w:val="both"/>
        <w:rPr>
          <w:rFonts w:ascii="Arial" w:hAnsi="Arial" w:cs="Arial"/>
        </w:rPr>
      </w:pPr>
      <w:r w:rsidRPr="006B72E8">
        <w:rPr>
          <w:rFonts w:ascii="Arial" w:hAnsi="Arial" w:cs="Arial"/>
          <w:iCs/>
        </w:rPr>
        <w:lastRenderedPageBreak/>
        <w:t>Unternehmenssicherungsberatung</w:t>
      </w:r>
    </w:p>
    <w:p w:rsidR="006B72E8" w:rsidRPr="006B72E8" w:rsidRDefault="006B72E8" w:rsidP="006B72E8">
      <w:pPr>
        <w:numPr>
          <w:ilvl w:val="0"/>
          <w:numId w:val="5"/>
        </w:numPr>
        <w:tabs>
          <w:tab w:val="left" w:pos="3495"/>
          <w:tab w:val="left" w:pos="6450"/>
        </w:tabs>
        <w:spacing w:line="360" w:lineRule="auto"/>
        <w:jc w:val="both"/>
        <w:rPr>
          <w:rFonts w:ascii="Arial" w:hAnsi="Arial" w:cs="Arial"/>
        </w:rPr>
      </w:pPr>
      <w:r w:rsidRPr="006B72E8">
        <w:rPr>
          <w:rFonts w:ascii="Arial" w:hAnsi="Arial" w:cs="Arial"/>
        </w:rPr>
        <w:t>Unternehmen in Schwierigkeiten erhalten eine Beratungsförderung zu allen Fragen der Wiederherstellung der Leistungs- und Wettbewerbsfähigkeit inklusive Moderation / Begleitung durch einen regionalen Ansprechpartner.</w:t>
      </w:r>
    </w:p>
    <w:p w:rsidR="006B72E8" w:rsidRPr="006B72E8" w:rsidRDefault="006B72E8" w:rsidP="006B72E8">
      <w:pPr>
        <w:numPr>
          <w:ilvl w:val="0"/>
          <w:numId w:val="5"/>
        </w:numPr>
        <w:tabs>
          <w:tab w:val="left" w:pos="3495"/>
          <w:tab w:val="left" w:pos="6450"/>
        </w:tabs>
        <w:spacing w:line="360" w:lineRule="auto"/>
        <w:jc w:val="both"/>
        <w:rPr>
          <w:rFonts w:ascii="Arial" w:hAnsi="Arial" w:cs="Arial"/>
        </w:rPr>
      </w:pPr>
      <w:r w:rsidRPr="006B72E8">
        <w:rPr>
          <w:rFonts w:ascii="Arial" w:hAnsi="Arial" w:cs="Arial"/>
        </w:rPr>
        <w:t>Zusätzlich kann eine weitere allgemeine Beratung zur Vertiefung der Maßnahmen zur Wiederherstellung der Leistungs- und Wettbewerbsfähigkeit gefördert werden.</w:t>
      </w:r>
    </w:p>
    <w:p w:rsidR="00245EEB" w:rsidRDefault="00E07FB4" w:rsidP="00E07FB4">
      <w:pPr>
        <w:tabs>
          <w:tab w:val="left" w:pos="3495"/>
          <w:tab w:val="left" w:pos="6450"/>
        </w:tabs>
        <w:spacing w:line="360" w:lineRule="auto"/>
        <w:jc w:val="both"/>
        <w:rPr>
          <w:rFonts w:ascii="Arial" w:hAnsi="Arial" w:cs="Arial"/>
        </w:rPr>
      </w:pPr>
      <w:r>
        <w:rPr>
          <w:rFonts w:ascii="Arial" w:hAnsi="Arial" w:cs="Arial"/>
        </w:rPr>
        <w:t>Der Regionalpartner, zumeist die zuständige Industrie- und Handelskammer, prüft formell die Förderfähigkeit der Beratung und führt mit dem/ der Gründer/in</w:t>
      </w:r>
      <w:r w:rsidR="005B6B21">
        <w:rPr>
          <w:rFonts w:ascii="Arial" w:hAnsi="Arial" w:cs="Arial"/>
        </w:rPr>
        <w:t xml:space="preserve"> ein Gespräch. Bei der Beratung </w:t>
      </w:r>
      <w:r>
        <w:rPr>
          <w:rFonts w:ascii="Arial" w:hAnsi="Arial" w:cs="Arial"/>
        </w:rPr>
        <w:t xml:space="preserve">von Gründer/innen (=neu gegründete Unternehmen in den ersten zwei Jahren nach Gründung) ist dies verpflichtend, ebenso wie bei der Beratung von Unternehmen in wirtschaftlichen Schwierigkeiten. </w:t>
      </w:r>
    </w:p>
    <w:p w:rsidR="00245EEB" w:rsidRDefault="00E07FB4" w:rsidP="00245EEB">
      <w:pPr>
        <w:tabs>
          <w:tab w:val="left" w:pos="3495"/>
          <w:tab w:val="left" w:pos="6450"/>
        </w:tabs>
        <w:spacing w:line="360" w:lineRule="auto"/>
        <w:jc w:val="both"/>
        <w:rPr>
          <w:rFonts w:ascii="Arial" w:hAnsi="Arial" w:cs="Arial"/>
        </w:rPr>
      </w:pPr>
      <w:r>
        <w:rPr>
          <w:rFonts w:ascii="Arial" w:hAnsi="Arial" w:cs="Arial"/>
        </w:rPr>
        <w:t xml:space="preserve">Diese enge Zusammenarbeit sichert </w:t>
      </w:r>
      <w:r w:rsidR="004B3B1D">
        <w:rPr>
          <w:rFonts w:ascii="Arial" w:hAnsi="Arial" w:cs="Arial"/>
        </w:rPr>
        <w:t>die Beratungsqualität durch festgelegte formale Anforderungen in den Richtlinien an die Berater und Prüfung der Beratungsberichte.</w:t>
      </w:r>
      <w:r w:rsidR="005B6B21">
        <w:rPr>
          <w:rFonts w:ascii="Arial" w:hAnsi="Arial" w:cs="Arial"/>
        </w:rPr>
        <w:t xml:space="preserve"> Neu ist, dass eine Identitätsprüfung anhand geeigneter Ausweisdokumente durchgeführt </w:t>
      </w:r>
      <w:r w:rsidR="006B72E8">
        <w:rPr>
          <w:rFonts w:ascii="Arial" w:hAnsi="Arial" w:cs="Arial"/>
        </w:rPr>
        <w:t xml:space="preserve">wird </w:t>
      </w:r>
      <w:r w:rsidR="005B6B21">
        <w:rPr>
          <w:rFonts w:ascii="Arial" w:hAnsi="Arial" w:cs="Arial"/>
        </w:rPr>
        <w:t>und Angaben zur Eintragung im Unternehmens</w:t>
      </w:r>
      <w:r w:rsidR="009801DB">
        <w:rPr>
          <w:rFonts w:ascii="Arial" w:hAnsi="Arial" w:cs="Arial"/>
        </w:rPr>
        <w:t xml:space="preserve">register geprüft werden (GmbH, GmbH </w:t>
      </w:r>
      <w:proofErr w:type="spellStart"/>
      <w:r w:rsidR="009801DB">
        <w:rPr>
          <w:rFonts w:ascii="Arial" w:hAnsi="Arial" w:cs="Arial"/>
        </w:rPr>
        <w:t>iG</w:t>
      </w:r>
      <w:proofErr w:type="spellEnd"/>
      <w:r w:rsidR="009801DB">
        <w:rPr>
          <w:rFonts w:ascii="Arial" w:hAnsi="Arial" w:cs="Arial"/>
        </w:rPr>
        <w:t xml:space="preserve">, OHG, KG etc.). Die Umsetzung ist beim Bundesamt für Wirtschaft und Ausfuhrkontrolle (BAFA) angesiedelt. Die Antragsstellung erfolgt </w:t>
      </w:r>
      <w:r w:rsidR="006B72E8">
        <w:rPr>
          <w:rFonts w:ascii="Arial" w:hAnsi="Arial" w:cs="Arial"/>
        </w:rPr>
        <w:t xml:space="preserve">danach </w:t>
      </w:r>
      <w:r w:rsidR="009801DB">
        <w:rPr>
          <w:rFonts w:ascii="Arial" w:hAnsi="Arial" w:cs="Arial"/>
        </w:rPr>
        <w:t xml:space="preserve">online. </w:t>
      </w:r>
    </w:p>
    <w:p w:rsidR="009801DB" w:rsidRDefault="009801DB" w:rsidP="00245EEB">
      <w:pPr>
        <w:tabs>
          <w:tab w:val="left" w:pos="3495"/>
          <w:tab w:val="left" w:pos="6450"/>
        </w:tabs>
        <w:spacing w:line="360" w:lineRule="auto"/>
        <w:jc w:val="both"/>
        <w:rPr>
          <w:rFonts w:ascii="Arial" w:hAnsi="Arial" w:cs="Arial"/>
        </w:rPr>
      </w:pPr>
      <w:r>
        <w:rPr>
          <w:rFonts w:ascii="Arial" w:hAnsi="Arial" w:cs="Arial"/>
        </w:rPr>
        <w:t xml:space="preserve">Das Antragsverfahren erfolgt in zwei Stufen. Nach der Antragsstellung erhält das kleine und mittelständische Unternehmen umgehend eine Mitteilung, dass die formalen Fördervoraussetzungen erfüllt sind und mit der Beratung begonnen werden kann. Die Bewilligung in Form des Zuwendungsbescheides und die Auszahlung des Zuschusses durch das Bundesamt für Wirtschaft und Ausfuhrkontrolle (BAFA) </w:t>
      </w:r>
      <w:r w:rsidR="006B72E8">
        <w:rPr>
          <w:rFonts w:ascii="Arial" w:hAnsi="Arial" w:cs="Arial"/>
        </w:rPr>
        <w:t xml:space="preserve">erfolgt </w:t>
      </w:r>
      <w:r>
        <w:rPr>
          <w:rFonts w:ascii="Arial" w:hAnsi="Arial" w:cs="Arial"/>
        </w:rPr>
        <w:t>nach erfolgter Beratung und Prüfungen des Beratungsberichts.</w:t>
      </w:r>
    </w:p>
    <w:p w:rsidR="00F14C81" w:rsidRDefault="00F14C81" w:rsidP="00245EEB">
      <w:pPr>
        <w:tabs>
          <w:tab w:val="left" w:pos="3495"/>
          <w:tab w:val="left" w:pos="6450"/>
        </w:tabs>
        <w:spacing w:line="360" w:lineRule="auto"/>
        <w:jc w:val="both"/>
        <w:rPr>
          <w:rFonts w:ascii="Arial" w:hAnsi="Arial" w:cs="Arial"/>
        </w:rPr>
      </w:pPr>
      <w:r>
        <w:rPr>
          <w:rFonts w:ascii="Arial" w:hAnsi="Arial" w:cs="Arial"/>
        </w:rPr>
        <w:t xml:space="preserve">Als Ansprechpartner für eine potentielle Beratung steht Ihnen DEHOGA Partner und Unternehmensberater Björn Grimm/ Grimm Consulting mit weiteren Informationen </w:t>
      </w:r>
      <w:r w:rsidR="00AF558C">
        <w:rPr>
          <w:rFonts w:ascii="Arial" w:hAnsi="Arial" w:cs="Arial"/>
        </w:rPr>
        <w:t xml:space="preserve">gerne </w:t>
      </w:r>
      <w:r>
        <w:rPr>
          <w:rFonts w:ascii="Arial" w:hAnsi="Arial" w:cs="Arial"/>
        </w:rPr>
        <w:t xml:space="preserve">zur </w:t>
      </w:r>
      <w:r w:rsidR="00AF558C">
        <w:rPr>
          <w:rFonts w:ascii="Arial" w:hAnsi="Arial" w:cs="Arial"/>
        </w:rPr>
        <w:t>Verf</w:t>
      </w:r>
      <w:r>
        <w:rPr>
          <w:rFonts w:ascii="Arial" w:hAnsi="Arial" w:cs="Arial"/>
        </w:rPr>
        <w:t xml:space="preserve">ügung. </w:t>
      </w:r>
    </w:p>
    <w:p w:rsidR="00F14C81" w:rsidRDefault="00F14C81" w:rsidP="00245EEB">
      <w:pPr>
        <w:tabs>
          <w:tab w:val="left" w:pos="3495"/>
          <w:tab w:val="left" w:pos="6450"/>
        </w:tabs>
        <w:spacing w:line="360" w:lineRule="auto"/>
        <w:jc w:val="both"/>
        <w:rPr>
          <w:rFonts w:ascii="Arial" w:hAnsi="Arial" w:cs="Arial"/>
        </w:rPr>
      </w:pPr>
      <w:r>
        <w:rPr>
          <w:rFonts w:ascii="Arial" w:hAnsi="Arial" w:cs="Arial"/>
        </w:rPr>
        <w:t>www.grimm-consulting.com</w:t>
      </w:r>
    </w:p>
    <w:p w:rsidR="00F14C81" w:rsidRPr="00CD3D19" w:rsidRDefault="00F14C81" w:rsidP="00245EEB">
      <w:pPr>
        <w:tabs>
          <w:tab w:val="left" w:pos="3495"/>
          <w:tab w:val="left" w:pos="6450"/>
        </w:tabs>
        <w:spacing w:line="360" w:lineRule="auto"/>
        <w:jc w:val="both"/>
        <w:rPr>
          <w:rFonts w:ascii="Arial" w:hAnsi="Arial" w:cs="Arial"/>
        </w:rPr>
      </w:pPr>
    </w:p>
    <w:p w:rsidR="00734B06" w:rsidRDefault="00734B06" w:rsidP="00734B06">
      <w:pPr>
        <w:tabs>
          <w:tab w:val="left" w:pos="3495"/>
          <w:tab w:val="left" w:pos="6450"/>
        </w:tabs>
        <w:spacing w:line="360" w:lineRule="auto"/>
        <w:jc w:val="right"/>
        <w:rPr>
          <w:rFonts w:ascii="Arial" w:hAnsi="Arial" w:cs="Arial"/>
          <w:sz w:val="16"/>
        </w:rPr>
      </w:pPr>
    </w:p>
    <w:p w:rsidR="00734B06" w:rsidRPr="00734B06" w:rsidRDefault="00734B06">
      <w:pPr>
        <w:tabs>
          <w:tab w:val="left" w:pos="3495"/>
          <w:tab w:val="left" w:pos="6450"/>
        </w:tabs>
        <w:spacing w:line="360" w:lineRule="auto"/>
        <w:jc w:val="both"/>
        <w:rPr>
          <w:rFonts w:ascii="Arial" w:hAnsi="Arial" w:cs="Arial"/>
          <w:sz w:val="16"/>
        </w:rPr>
      </w:pPr>
    </w:p>
    <w:sectPr w:rsidR="00734B06" w:rsidRPr="00734B06" w:rsidSect="00DB1F26">
      <w:type w:val="continuous"/>
      <w:pgSz w:w="11906" w:h="16838"/>
      <w:pgMar w:top="1417" w:right="991" w:bottom="1134" w:left="993" w:header="708" w:footer="708" w:gutter="0"/>
      <w:cols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D72F0"/>
    <w:multiLevelType w:val="multilevel"/>
    <w:tmpl w:val="663C9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477CA8"/>
    <w:multiLevelType w:val="multilevel"/>
    <w:tmpl w:val="04C2ED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6873D1"/>
    <w:multiLevelType w:val="multilevel"/>
    <w:tmpl w:val="B3F6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A9367E"/>
    <w:multiLevelType w:val="multilevel"/>
    <w:tmpl w:val="D1FC6D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694A8D"/>
    <w:multiLevelType w:val="hybridMultilevel"/>
    <w:tmpl w:val="B4A4712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CA1"/>
    <w:rsid w:val="0017492F"/>
    <w:rsid w:val="00245EEB"/>
    <w:rsid w:val="00330D3A"/>
    <w:rsid w:val="003554A3"/>
    <w:rsid w:val="003B1641"/>
    <w:rsid w:val="003E13E5"/>
    <w:rsid w:val="004B3B1D"/>
    <w:rsid w:val="004C1754"/>
    <w:rsid w:val="00576429"/>
    <w:rsid w:val="005B6B21"/>
    <w:rsid w:val="006B72E8"/>
    <w:rsid w:val="006C6CA1"/>
    <w:rsid w:val="00734B06"/>
    <w:rsid w:val="00907A4F"/>
    <w:rsid w:val="009801DB"/>
    <w:rsid w:val="00AF558C"/>
    <w:rsid w:val="00CD3D19"/>
    <w:rsid w:val="00DB1F26"/>
    <w:rsid w:val="00E07FB4"/>
    <w:rsid w:val="00E17D81"/>
    <w:rsid w:val="00E3688D"/>
    <w:rsid w:val="00EA2075"/>
    <w:rsid w:val="00F14C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C6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B72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72E8"/>
    <w:rPr>
      <w:rFonts w:ascii="Tahoma" w:hAnsi="Tahoma" w:cs="Tahoma"/>
      <w:sz w:val="16"/>
      <w:szCs w:val="16"/>
    </w:rPr>
  </w:style>
  <w:style w:type="paragraph" w:styleId="Listenabsatz">
    <w:name w:val="List Paragraph"/>
    <w:basedOn w:val="Standard"/>
    <w:uiPriority w:val="34"/>
    <w:qFormat/>
    <w:rsid w:val="006B72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C6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B72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72E8"/>
    <w:rPr>
      <w:rFonts w:ascii="Tahoma" w:hAnsi="Tahoma" w:cs="Tahoma"/>
      <w:sz w:val="16"/>
      <w:szCs w:val="16"/>
    </w:rPr>
  </w:style>
  <w:style w:type="paragraph" w:styleId="Listenabsatz">
    <w:name w:val="List Paragraph"/>
    <w:basedOn w:val="Standard"/>
    <w:uiPriority w:val="34"/>
    <w:qFormat/>
    <w:rsid w:val="006B7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14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2975</Characters>
  <Application>Microsoft Office Word</Application>
  <DocSecurity>4</DocSecurity>
  <Lines>270</Lines>
  <Paragraphs>87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Grimm Consulting</dc:creator>
  <cp:lastModifiedBy>Tanja Bittaye</cp:lastModifiedBy>
  <cp:revision>2</cp:revision>
  <dcterms:created xsi:type="dcterms:W3CDTF">2016-04-01T13:48:00Z</dcterms:created>
  <dcterms:modified xsi:type="dcterms:W3CDTF">2016-04-01T13:48:00Z</dcterms:modified>
</cp:coreProperties>
</file>